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ABA" w:rsidRPr="00822ABA" w:rsidRDefault="00822ABA" w:rsidP="00822ABA">
      <w:pPr>
        <w:pBdr>
          <w:top w:val="single" w:sz="6" w:space="0" w:color="BACBDB"/>
          <w:left w:val="single" w:sz="6" w:space="0" w:color="BACBDB"/>
          <w:bottom w:val="single" w:sz="6" w:space="0" w:color="BACBDB"/>
          <w:right w:val="single" w:sz="6" w:space="0" w:color="BACBDB"/>
        </w:pBdr>
        <w:shd w:val="clear" w:color="auto" w:fill="D6EC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46"/>
          <w:szCs w:val="46"/>
          <w:lang w:eastAsia="it-IT"/>
        </w:rPr>
      </w:pPr>
      <w:r w:rsidRPr="00822ABA">
        <w:rPr>
          <w:rFonts w:ascii="Times New Roman" w:eastAsia="Times New Roman" w:hAnsi="Times New Roman" w:cs="Times New Roman"/>
          <w:b/>
          <w:bCs/>
          <w:color w:val="000080"/>
          <w:kern w:val="36"/>
          <w:sz w:val="46"/>
          <w:szCs w:val="46"/>
          <w:lang w:eastAsia="it-IT"/>
        </w:rPr>
        <w:t>Arresto e fermo</w:t>
      </w:r>
    </w:p>
    <w:p w:rsidR="00822ABA" w:rsidRPr="00822ABA" w:rsidRDefault="00822ABA" w:rsidP="00822ABA">
      <w:pPr>
        <w:shd w:val="clear" w:color="auto" w:fill="D6EC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22A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cura di: Avv. Francesca </w:t>
      </w:r>
      <w:proofErr w:type="spellStart"/>
      <w:r w:rsidRPr="00822ABA">
        <w:rPr>
          <w:rFonts w:ascii="Times New Roman" w:eastAsia="Times New Roman" w:hAnsi="Times New Roman" w:cs="Times New Roman"/>
          <w:sz w:val="24"/>
          <w:szCs w:val="24"/>
          <w:lang w:eastAsia="it-IT"/>
        </w:rPr>
        <w:t>Romanelli</w:t>
      </w:r>
      <w:proofErr w:type="spellEnd"/>
      <w:r w:rsidRPr="00822AB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Avv. Silvia </w:t>
      </w:r>
      <w:proofErr w:type="spellStart"/>
      <w:r w:rsidRPr="00822ABA">
        <w:rPr>
          <w:rFonts w:ascii="Times New Roman" w:eastAsia="Times New Roman" w:hAnsi="Times New Roman" w:cs="Times New Roman"/>
          <w:sz w:val="24"/>
          <w:szCs w:val="24"/>
          <w:lang w:eastAsia="it-IT"/>
        </w:rPr>
        <w:t>Vagnoni</w:t>
      </w:r>
      <w:proofErr w:type="spellEnd"/>
    </w:p>
    <w:p w:rsidR="00F1612B" w:rsidRDefault="00F1612B" w:rsidP="00822ABA">
      <w:pPr>
        <w:jc w:val="both"/>
      </w:pP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L’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arresto </w:t>
      </w:r>
      <w:r>
        <w:rPr>
          <w:rFonts w:ascii="Tahoma" w:hAnsi="Tahoma" w:cs="Tahoma"/>
          <w:color w:val="000080"/>
          <w:sz w:val="20"/>
          <w:szCs w:val="20"/>
        </w:rPr>
        <w:t xml:space="preserve">e il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fermo </w:t>
      </w:r>
      <w:r>
        <w:rPr>
          <w:rFonts w:ascii="Tahoma" w:hAnsi="Tahoma" w:cs="Tahoma"/>
          <w:color w:val="000080"/>
          <w:sz w:val="20"/>
          <w:szCs w:val="20"/>
        </w:rPr>
        <w:t xml:space="preserve">sono provvedimenti limitativi della libertà personale temporanei e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precautelari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 xml:space="preserve"> in quanto rappresentano un’anticipazione di quella tutela predisposta mediante le misure cautelari dalle quali si differenziano per il connotato dell’urgenza e l’assenza di un provvedimento dell’Autorità Giudiziaria che interviene solo successivamente nelle forme della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>convalida</w:t>
      </w:r>
      <w:r>
        <w:rPr>
          <w:rFonts w:ascii="Tahoma" w:hAnsi="Tahoma" w:cs="Tahoma"/>
          <w:color w:val="000080"/>
          <w:sz w:val="20"/>
          <w:szCs w:val="20"/>
        </w:rPr>
        <w:t xml:space="preserve">. Tanto l’arresto quanto il fermo sono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>vietati</w:t>
      </w:r>
      <w:r>
        <w:rPr>
          <w:rFonts w:ascii="Tahoma" w:hAnsi="Tahoma" w:cs="Tahoma"/>
          <w:color w:val="000080"/>
          <w:sz w:val="20"/>
          <w:szCs w:val="20"/>
        </w:rPr>
        <w:t xml:space="preserve"> quando il soggetto abbia agito in presenza di una causa di giustificazione o di non punibilità (art. 385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c.p.p.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>).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L’</w:t>
      </w:r>
      <w:r>
        <w:rPr>
          <w:rFonts w:ascii="Tahoma" w:hAnsi="Tahoma" w:cs="Tahoma"/>
          <w:b/>
          <w:bCs/>
          <w:color w:val="000080"/>
          <w:sz w:val="20"/>
          <w:szCs w:val="20"/>
          <w:u w:val="single"/>
        </w:rPr>
        <w:t>ARRESTO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 </w:t>
      </w:r>
      <w:r>
        <w:rPr>
          <w:rFonts w:ascii="Tahoma" w:hAnsi="Tahoma" w:cs="Tahoma"/>
          <w:color w:val="000080"/>
          <w:sz w:val="20"/>
          <w:szCs w:val="20"/>
        </w:rPr>
        <w:t xml:space="preserve">consiste in una temporanea privazione della libertà personale che la P.G. dispone a carico di "chi viene colto nell’atto di commettere il reato" (c.d.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>flagranza propria</w:t>
      </w:r>
      <w:r>
        <w:rPr>
          <w:rFonts w:ascii="Tahoma" w:hAnsi="Tahoma" w:cs="Tahoma"/>
          <w:color w:val="000080"/>
          <w:sz w:val="20"/>
          <w:szCs w:val="20"/>
        </w:rPr>
        <w:t xml:space="preserve">) o di "chi, subito dopo il reato, è inseguito dalla polizia giudiziaria, dalla </w:t>
      </w:r>
      <w:hyperlink r:id="rId4" w:tgtFrame="_blank" w:history="1">
        <w:r>
          <w:rPr>
            <w:rStyle w:val="Collegamentoipertestuale"/>
            <w:rFonts w:ascii="Tahoma" w:hAnsi="Tahoma" w:cs="Tahoma"/>
            <w:color w:val="008000"/>
            <w:sz w:val="20"/>
            <w:szCs w:val="20"/>
          </w:rPr>
          <w:t>persona</w:t>
        </w:r>
      </w:hyperlink>
      <w:r>
        <w:rPr>
          <w:rFonts w:ascii="Tahoma" w:hAnsi="Tahoma" w:cs="Tahoma"/>
          <w:color w:val="000080"/>
          <w:sz w:val="20"/>
          <w:szCs w:val="20"/>
        </w:rPr>
        <w:t xml:space="preserve"> offesa o da altre persone ovvero è sorpreso con </w:t>
      </w:r>
      <w:hyperlink r:id="rId5" w:tgtFrame="_blank" w:history="1">
        <w:r>
          <w:rPr>
            <w:rStyle w:val="Collegamentoipertestuale"/>
            <w:rFonts w:ascii="Tahoma" w:hAnsi="Tahoma" w:cs="Tahoma"/>
            <w:color w:val="008000"/>
            <w:sz w:val="20"/>
            <w:szCs w:val="20"/>
          </w:rPr>
          <w:t>cose</w:t>
        </w:r>
      </w:hyperlink>
      <w:r>
        <w:rPr>
          <w:rFonts w:ascii="Tahoma" w:hAnsi="Tahoma" w:cs="Tahoma"/>
          <w:color w:val="000080"/>
          <w:sz w:val="20"/>
          <w:szCs w:val="20"/>
        </w:rPr>
        <w:t xml:space="preserve"> o tracce dalle quali appaia che egli abbia </w:t>
      </w:r>
      <w:hyperlink r:id="rId6" w:tgtFrame="_blank" w:history="1">
        <w:r>
          <w:rPr>
            <w:rStyle w:val="Collegamentoipertestuale"/>
            <w:rFonts w:ascii="Tahoma" w:hAnsi="Tahoma" w:cs="Tahoma"/>
            <w:color w:val="008000"/>
            <w:sz w:val="20"/>
            <w:szCs w:val="20"/>
          </w:rPr>
          <w:t>commesso</w:t>
        </w:r>
      </w:hyperlink>
      <w:r>
        <w:rPr>
          <w:rFonts w:ascii="Tahoma" w:hAnsi="Tahoma" w:cs="Tahoma"/>
          <w:color w:val="000080"/>
          <w:sz w:val="20"/>
          <w:szCs w:val="20"/>
        </w:rPr>
        <w:t xml:space="preserve"> il reato immediatamente prima" (c.d.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>flagranza impropria</w:t>
      </w:r>
      <w:r>
        <w:rPr>
          <w:rFonts w:ascii="Tahoma" w:hAnsi="Tahoma" w:cs="Tahoma"/>
          <w:color w:val="000080"/>
          <w:sz w:val="20"/>
          <w:szCs w:val="20"/>
        </w:rPr>
        <w:t xml:space="preserve">) (art. 382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c.p.p.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>). Il tutto con la finalità di impedire che il reato venga portato a conseguenze ulteriori ed assicurare l’autore alla giustizia.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La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>Polizia Giudiziaria</w:t>
      </w:r>
      <w:r>
        <w:rPr>
          <w:rFonts w:ascii="Tahoma" w:hAnsi="Tahoma" w:cs="Tahoma"/>
          <w:color w:val="000080"/>
          <w:sz w:val="20"/>
          <w:szCs w:val="20"/>
        </w:rPr>
        <w:t>: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- deve procedere all’arresto (c.d.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arresto obbligatorio </w:t>
      </w:r>
      <w:r>
        <w:rPr>
          <w:rFonts w:ascii="Tahoma" w:hAnsi="Tahoma" w:cs="Tahoma"/>
          <w:color w:val="000080"/>
          <w:sz w:val="20"/>
          <w:szCs w:val="20"/>
        </w:rPr>
        <w:t xml:space="preserve">– art. 380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c.p.p.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 xml:space="preserve">) di chiunque sia colto in flagranza di delitti non colposi, consumati o tentati, per i quali la </w:t>
      </w:r>
      <w:hyperlink r:id="rId7" w:tgtFrame="_blank" w:history="1">
        <w:r>
          <w:rPr>
            <w:rStyle w:val="Collegamentoipertestuale"/>
            <w:rFonts w:ascii="Tahoma" w:hAnsi="Tahoma" w:cs="Tahoma"/>
            <w:color w:val="008000"/>
            <w:sz w:val="20"/>
            <w:szCs w:val="20"/>
          </w:rPr>
          <w:t>legge</w:t>
        </w:r>
      </w:hyperlink>
      <w:r>
        <w:rPr>
          <w:rFonts w:ascii="Tahoma" w:hAnsi="Tahoma" w:cs="Tahoma"/>
          <w:color w:val="000080"/>
          <w:sz w:val="20"/>
          <w:szCs w:val="20"/>
        </w:rPr>
        <w:t xml:space="preserve"> stabilisce la pena dell’ergastolo o della reclusione non inferiore nel minimo a cinque anni e nel massimo a venti anni oppure di reati espressamente elencati, individuati per le loro caratteristiche di salvaguardia dell’ordine costituzionale, della sicurezza collettiva e dell’ordinato vivere civile;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- può procedere all’arresto (c.d.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arresto facoltativo </w:t>
      </w:r>
      <w:r>
        <w:rPr>
          <w:rFonts w:ascii="Tahoma" w:hAnsi="Tahoma" w:cs="Tahoma"/>
          <w:color w:val="000080"/>
          <w:sz w:val="20"/>
          <w:szCs w:val="20"/>
        </w:rPr>
        <w:t xml:space="preserve">– art. 381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c.p.p.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>) di chiunque sia colto in flagranza di delitti non colposi, consumati o tentati, per i quali la legge stabilisce la pena della reclusione superiore nel massimo a tre anni ovvero di un delitto colposo per il quale la legge stabilisce la pena della reclusione non inferiore nel massimo a cinque anni oppure di reati espressamente menzionati. Il ricorso all’arresto facoltativo deve essere giustificato dalla gravità del fatto ovvero dalla pericolosità del soggetto desunta dalla sua personalità o dalle circostanze del fatto.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Il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privato </w:t>
      </w:r>
      <w:r>
        <w:rPr>
          <w:rFonts w:ascii="Tahoma" w:hAnsi="Tahoma" w:cs="Tahoma"/>
          <w:color w:val="000080"/>
          <w:sz w:val="20"/>
          <w:szCs w:val="20"/>
        </w:rPr>
        <w:t xml:space="preserve">può procedere all’arresto (c.d.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arresto facoltativo </w:t>
      </w:r>
      <w:r>
        <w:rPr>
          <w:rFonts w:ascii="Tahoma" w:hAnsi="Tahoma" w:cs="Tahoma"/>
          <w:color w:val="000080"/>
          <w:sz w:val="20"/>
          <w:szCs w:val="20"/>
        </w:rPr>
        <w:t xml:space="preserve">– art. 383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c.p.p.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 xml:space="preserve">) quando l’arresto è obbligatorio per la P.G. e si versi in flagranza di un reato perseguibile d’ufficio. Chi vi procede "deve senza ritardo consegnare l’arrestato e le cose costituenti il corpo del reato alla polizia giudiziaria la quale redige il verbale della consegna e ne rilascia copia". 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Il </w:t>
      </w:r>
      <w:r>
        <w:rPr>
          <w:rFonts w:ascii="Tahoma" w:hAnsi="Tahoma" w:cs="Tahoma"/>
          <w:b/>
          <w:bCs/>
          <w:color w:val="000080"/>
          <w:sz w:val="20"/>
          <w:szCs w:val="20"/>
          <w:u w:val="single"/>
        </w:rPr>
        <w:t>FERMO</w:t>
      </w:r>
      <w:r>
        <w:rPr>
          <w:rFonts w:ascii="Tahoma" w:hAnsi="Tahoma" w:cs="Tahoma"/>
          <w:color w:val="000080"/>
          <w:sz w:val="20"/>
          <w:szCs w:val="20"/>
        </w:rPr>
        <w:t xml:space="preserve"> (art. 384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c.p.p.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 xml:space="preserve">) consiste, come nel caso dell’arresto, in una privazione della libertà personale che il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>P.M.</w:t>
      </w:r>
      <w:r>
        <w:rPr>
          <w:rFonts w:ascii="Tahoma" w:hAnsi="Tahoma" w:cs="Tahoma"/>
          <w:color w:val="000080"/>
          <w:sz w:val="20"/>
          <w:szCs w:val="20"/>
        </w:rPr>
        <w:t xml:space="preserve"> dispone, "anche fuori dei casi di flagranza, quando sussistono specifici elementi che, anche in relazione alla impossibilità di identificare l’indiziato, fanno ritenere fondato il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>pericolo di fuga</w:t>
      </w:r>
      <w:r>
        <w:rPr>
          <w:rFonts w:ascii="Tahoma" w:hAnsi="Tahoma" w:cs="Tahoma"/>
          <w:color w:val="000080"/>
          <w:sz w:val="20"/>
          <w:szCs w:val="20"/>
        </w:rPr>
        <w:t>" a carico della "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persona gravemente indiziata </w:t>
      </w:r>
      <w:r>
        <w:rPr>
          <w:rFonts w:ascii="Tahoma" w:hAnsi="Tahoma" w:cs="Tahoma"/>
          <w:color w:val="000080"/>
          <w:sz w:val="20"/>
          <w:szCs w:val="20"/>
        </w:rPr>
        <w:t xml:space="preserve">di un delitto per il quale la legge stabilisce la pena dell’ergastolo o della reclusione non inferiore nel minimo a due anni e superiore nel massimo a sei anni ovvero di un delitto concernente le armi da guerra e gli esplosivi o di un delitto commesso per finalità di terrorismo, anche internazionale, o di eversione dell’ordine democratico". Il tutto con la finalità di impedire che l’indagato possa darsi alla fuga soprattutto quando, mancando il presupposto della flagranza, non può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procedersi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 xml:space="preserve"> all’arresto. Al fermo può procedere anche la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P.G. </w:t>
      </w:r>
      <w:r>
        <w:rPr>
          <w:rFonts w:ascii="Tahoma" w:hAnsi="Tahoma" w:cs="Tahoma"/>
          <w:color w:val="000080"/>
          <w:sz w:val="20"/>
          <w:szCs w:val="20"/>
        </w:rPr>
        <w:t>quando ancora non vi sia stata l’assunzione della direzione delle indagini da parte del P.M. o "qualora sia successivamente individuato l’indiziato ovvero sopravvengano specifici elementi, quali il possesso di documenti falsi, che rendano fondato il pericolo che l’indiziato sia per darsi alla fuga e non sia possibile, per la situazione di urgenza, attendere il provvedimento del pubblico ministero".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Doveri della P.G. che ha eseguito l’arresto o il fermo </w:t>
      </w:r>
      <w:r>
        <w:rPr>
          <w:rFonts w:ascii="Tahoma" w:hAnsi="Tahoma" w:cs="Tahoma"/>
          <w:color w:val="000080"/>
          <w:sz w:val="20"/>
          <w:szCs w:val="20"/>
        </w:rPr>
        <w:t xml:space="preserve">(artt. 386-387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c.p.p.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>):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- informare il P.M. del luogo dove è stato eseguito l’arresto o il fermo;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- avvertire l’arrestato o il fermato che ha facoltà di nominare un difensore di fiducia;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- informare immediatamente il difensore di fiducia eventualmente nominato o quello di ufficio designato dal P.M. dell’avvenuto arresto o fermo;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- porre l’arrestato o il fermato a disposizione del P.M. al più presto e comunque non oltre 24 ore dall’arresto o dal fermo conducendolo nella casa circondariale o mandamentale del luogo dove l’arresto o il fermo è stato eseguito;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- redigere il verbale di arresto o di fermo contenente l’eventuale nomina del difensore di fiducia, l’indicazione del giorno, dell’ora e del luogo in cui l’arresto o il fermo è stato eseguito e l’enunciazione delle ragioni che lo hanno determinato;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- trasmettere il verbale non oltre 24 ore dall’arresto o dal fermo, salvo che il P.M. autorizzi una dilazione maggiore;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lastRenderedPageBreak/>
        <w:t>- trasmettere il verbale di fermo anche al P.M. che ha disposto la misura, se questo è diverso da quello del luogo in cui la stessa è stata eseguita;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- con il consenso dell’arrestato o del fermato informare i familiari dello stesso dell’avvenuto arresto o fermo. 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Poteri e doveri del P.M. </w:t>
      </w:r>
      <w:r>
        <w:rPr>
          <w:rFonts w:ascii="Tahoma" w:hAnsi="Tahoma" w:cs="Tahoma"/>
          <w:color w:val="000080"/>
          <w:sz w:val="20"/>
          <w:szCs w:val="20"/>
        </w:rPr>
        <w:t xml:space="preserve">(artt. 388-390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c.p.p.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>):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- interrogare l’arrestato o il fermato, dandone tempestivo avviso al difensore, informandolo del fatto per cui si procede e delle ragioni che hanno determinato il provvedimento e comunicandogli gli elementi a suo carico e, se non può derivarne pregiudizio per le indagini, le fonti; 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- disporre con decreto motivato la liberazione dell’arrestato o del fermato </w:t>
      </w:r>
      <w:r>
        <w:rPr>
          <w:rFonts w:ascii="Tahoma" w:hAnsi="Tahoma" w:cs="Tahoma"/>
          <w:i/>
          <w:iCs/>
          <w:color w:val="000080"/>
          <w:sz w:val="20"/>
          <w:szCs w:val="20"/>
        </w:rPr>
        <w:t xml:space="preserve">a) </w:t>
      </w:r>
      <w:r>
        <w:rPr>
          <w:rFonts w:ascii="Tahoma" w:hAnsi="Tahoma" w:cs="Tahoma"/>
          <w:color w:val="000080"/>
          <w:sz w:val="20"/>
          <w:szCs w:val="20"/>
        </w:rPr>
        <w:t xml:space="preserve">se risulta che l’arresto o il fermo sono stati eseguiti per errore di persona o fuori dei casi previsti dalla legge; </w:t>
      </w:r>
      <w:r>
        <w:rPr>
          <w:rFonts w:ascii="Tahoma" w:hAnsi="Tahoma" w:cs="Tahoma"/>
          <w:i/>
          <w:iCs/>
          <w:color w:val="000080"/>
          <w:sz w:val="20"/>
          <w:szCs w:val="20"/>
        </w:rPr>
        <w:t xml:space="preserve">b) </w:t>
      </w:r>
      <w:r>
        <w:rPr>
          <w:rFonts w:ascii="Tahoma" w:hAnsi="Tahoma" w:cs="Tahoma"/>
          <w:color w:val="000080"/>
          <w:sz w:val="20"/>
          <w:szCs w:val="20"/>
        </w:rPr>
        <w:t xml:space="preserve">se l’arresto o il fermo sono divenuti inefficaci perché l’arrestato o fermato non è stato messo a disposizione del P.M. e il verbale dell’atto non è stato trasmesso a costui entro 24 ore dall’arresto o fermo oppure perché lo stesso P.M. entro 48 ore dall’arresto o fermo non ha chiesto la convalida al giudice; </w:t>
      </w:r>
      <w:r>
        <w:rPr>
          <w:rFonts w:ascii="Tahoma" w:hAnsi="Tahoma" w:cs="Tahoma"/>
          <w:i/>
          <w:iCs/>
          <w:color w:val="000080"/>
          <w:sz w:val="20"/>
          <w:szCs w:val="20"/>
        </w:rPr>
        <w:t xml:space="preserve">c) </w:t>
      </w:r>
      <w:r>
        <w:rPr>
          <w:rFonts w:ascii="Tahoma" w:hAnsi="Tahoma" w:cs="Tahoma"/>
          <w:color w:val="000080"/>
          <w:sz w:val="20"/>
          <w:szCs w:val="20"/>
        </w:rPr>
        <w:t>se ritiene di non dover chieder al giudice l’applicazione all’arrestato o fermato di una misura coercitiva;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- ove non ordini la liberazione, richiedere la convalida al giudice per le indagini preliminari competente in relazione al luogo dove l’arresto o il fermo sono stati eseguiti entro 48 ore dall’arresto o dal fermo,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- nel caso in cui non partecipi all’udienza di convalida, trasmettere al giudice le richieste in ordine alla libertà personale con gli elementi su cui le stesse si fondano.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UDIENZA </w:t>
      </w:r>
      <w:proofErr w:type="spellStart"/>
      <w:r>
        <w:rPr>
          <w:rFonts w:ascii="Tahoma" w:hAnsi="Tahoma" w:cs="Tahoma"/>
          <w:b/>
          <w:bCs/>
          <w:color w:val="000080"/>
          <w:sz w:val="20"/>
          <w:szCs w:val="20"/>
        </w:rPr>
        <w:t>DI</w:t>
      </w:r>
      <w:proofErr w:type="spellEnd"/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 CONVALIDA </w:t>
      </w:r>
      <w:r>
        <w:rPr>
          <w:rFonts w:ascii="Tahoma" w:hAnsi="Tahoma" w:cs="Tahoma"/>
          <w:color w:val="000080"/>
          <w:sz w:val="20"/>
          <w:szCs w:val="20"/>
        </w:rPr>
        <w:t xml:space="preserve">(artt. 390-391 </w:t>
      </w:r>
      <w:proofErr w:type="spellStart"/>
      <w:r>
        <w:rPr>
          <w:rFonts w:ascii="Tahoma" w:hAnsi="Tahoma" w:cs="Tahoma"/>
          <w:color w:val="000080"/>
          <w:sz w:val="20"/>
          <w:szCs w:val="20"/>
        </w:rPr>
        <w:t>c.p.p.</w:t>
      </w:r>
      <w:proofErr w:type="spellEnd"/>
      <w:r>
        <w:rPr>
          <w:rFonts w:ascii="Tahoma" w:hAnsi="Tahoma" w:cs="Tahoma"/>
          <w:color w:val="000080"/>
          <w:sz w:val="20"/>
          <w:szCs w:val="20"/>
        </w:rPr>
        <w:t xml:space="preserve">): il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Giudice per le indagini preliminari </w:t>
      </w:r>
      <w:r>
        <w:rPr>
          <w:rFonts w:ascii="Tahoma" w:hAnsi="Tahoma" w:cs="Tahoma"/>
          <w:color w:val="000080"/>
          <w:sz w:val="20"/>
          <w:szCs w:val="20"/>
        </w:rPr>
        <w:t xml:space="preserve">(G.I.P.) deve fissarla entro 48 ore dalla richiesta di convalida del P.M. dandone avviso, senza ritardo, al P.M., al difensore, nonché all’arrestato o fermato già liberato. L’udienza si svolge in camera di consiglio con la </w:t>
      </w:r>
      <w:hyperlink r:id="rId8" w:tgtFrame="_blank" w:history="1">
        <w:r>
          <w:rPr>
            <w:rStyle w:val="Collegamentoipertestuale"/>
            <w:rFonts w:ascii="Tahoma" w:hAnsi="Tahoma" w:cs="Tahoma"/>
            <w:b/>
            <w:bCs/>
            <w:color w:val="008000"/>
            <w:sz w:val="20"/>
            <w:szCs w:val="20"/>
          </w:rPr>
          <w:t>partecipazione</w:t>
        </w:r>
      </w:hyperlink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 necessaria del difensore</w:t>
      </w:r>
      <w:r>
        <w:rPr>
          <w:rFonts w:ascii="Tahoma" w:hAnsi="Tahoma" w:cs="Tahoma"/>
          <w:color w:val="000080"/>
          <w:sz w:val="20"/>
          <w:szCs w:val="20"/>
        </w:rPr>
        <w:t xml:space="preserve"> dell’arrestato o del fermato o di un suo sostituto nominato dal giudice se non reperito o non comparso. Il P.M., se comparso (</w:t>
      </w:r>
      <w:r>
        <w:rPr>
          <w:rFonts w:ascii="Tahoma" w:hAnsi="Tahoma" w:cs="Tahoma"/>
          <w:b/>
          <w:bCs/>
          <w:color w:val="000080"/>
          <w:sz w:val="20"/>
          <w:szCs w:val="20"/>
        </w:rPr>
        <w:t>presenza facoltativa del P.M.</w:t>
      </w:r>
      <w:r>
        <w:rPr>
          <w:rFonts w:ascii="Tahoma" w:hAnsi="Tahoma" w:cs="Tahoma"/>
          <w:color w:val="000080"/>
          <w:sz w:val="20"/>
          <w:szCs w:val="20"/>
        </w:rPr>
        <w:t>), indica i motivi dell’arresto o del fermo e formula le richieste in ordine all’applicazione di misure cautelari. Il G.I.P. interroga l’arrestato o il fermato, se comparso, ed il suo difensore. A questo punto il G.I.P. può: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- convalidare con ordinanza (c.d.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>ordinanza di convalida</w:t>
      </w:r>
      <w:r>
        <w:rPr>
          <w:rFonts w:ascii="Tahoma" w:hAnsi="Tahoma" w:cs="Tahoma"/>
          <w:color w:val="000080"/>
          <w:sz w:val="20"/>
          <w:szCs w:val="20"/>
        </w:rPr>
        <w:t>) l’arresto o il fermo quando risultino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 </w:t>
      </w:r>
      <w:r>
        <w:rPr>
          <w:rFonts w:ascii="Tahoma" w:hAnsi="Tahoma" w:cs="Tahoma"/>
          <w:color w:val="000080"/>
          <w:sz w:val="20"/>
          <w:szCs w:val="20"/>
        </w:rPr>
        <w:t xml:space="preserve">legittimamente eseguiti ed osservati i termini per mettere a disposizione del P.M. l’arrestato/fermato, trasmettere il verbale e richiedere la convalida delle misure adottate. 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- non convalidare l’arresto o il fermo.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 xml:space="preserve">In entrambi i casi l’ordinanza è impugnabile con </w:t>
      </w:r>
      <w:r>
        <w:rPr>
          <w:rFonts w:ascii="Tahoma" w:hAnsi="Tahoma" w:cs="Tahoma"/>
          <w:b/>
          <w:bCs/>
          <w:color w:val="000080"/>
          <w:sz w:val="20"/>
          <w:szCs w:val="20"/>
        </w:rPr>
        <w:t xml:space="preserve">ricorso per cassazione </w:t>
      </w:r>
      <w:r>
        <w:rPr>
          <w:rFonts w:ascii="Tahoma" w:hAnsi="Tahoma" w:cs="Tahoma"/>
          <w:color w:val="000080"/>
          <w:sz w:val="20"/>
          <w:szCs w:val="20"/>
        </w:rPr>
        <w:t>sia dall’arrestato/fermato (nel caso di convalida) sia dal P.M. (nel caso di mancata convalida).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>
        <w:rPr>
          <w:rFonts w:ascii="Tahoma" w:hAnsi="Tahoma" w:cs="Tahoma"/>
          <w:color w:val="000080"/>
          <w:sz w:val="20"/>
          <w:szCs w:val="20"/>
        </w:rPr>
        <w:t>In ogni caso l’arresto o il fermo cessano di avere efficacia se l’ordinanza di convalida non è pronunciata o depositata nelle 48 ore successive al momento in cui l’arrestato o il fermato sono stati posti a disposizione del giudice.</w:t>
      </w:r>
    </w:p>
    <w:p w:rsidR="00822ABA" w:rsidRDefault="00822ABA" w:rsidP="00822ABA">
      <w:pPr>
        <w:pStyle w:val="NormaleWeb"/>
        <w:jc w:val="both"/>
        <w:rPr>
          <w:rFonts w:ascii="Tahoma" w:hAnsi="Tahoma" w:cs="Tahoma"/>
          <w:color w:val="000080"/>
          <w:sz w:val="20"/>
          <w:szCs w:val="20"/>
        </w:rPr>
      </w:pPr>
      <w:r w:rsidRPr="007A150F">
        <w:rPr>
          <w:rFonts w:ascii="Tahoma" w:hAnsi="Tahoma" w:cs="Tahoma"/>
          <w:color w:val="000080"/>
          <w:sz w:val="20"/>
          <w:szCs w:val="20"/>
          <w:highlight w:val="yellow"/>
        </w:rPr>
        <w:t xml:space="preserve">Poiché l’ordinanza di convalida attiene solo al controllo giurisdizionale sull’atto privativo di libertà operato dalla P.G. o dal P.M. ma non vale a legittimare l’ulteriore protrazione dello stato di arresto o fermo, se il G.I.P. non dispone anche l’applicazione di una </w:t>
      </w:r>
      <w:r w:rsidRPr="007A150F">
        <w:rPr>
          <w:rFonts w:ascii="Tahoma" w:hAnsi="Tahoma" w:cs="Tahoma"/>
          <w:b/>
          <w:bCs/>
          <w:color w:val="000080"/>
          <w:sz w:val="20"/>
          <w:szCs w:val="20"/>
          <w:highlight w:val="yellow"/>
        </w:rPr>
        <w:t xml:space="preserve">misura coercitiva </w:t>
      </w:r>
      <w:r w:rsidRPr="007A150F">
        <w:rPr>
          <w:rFonts w:ascii="Tahoma" w:hAnsi="Tahoma" w:cs="Tahoma"/>
          <w:color w:val="000080"/>
          <w:sz w:val="20"/>
          <w:szCs w:val="20"/>
          <w:highlight w:val="yellow"/>
        </w:rPr>
        <w:t xml:space="preserve">deve in ogni caso ordinare l’immediata </w:t>
      </w:r>
      <w:r w:rsidRPr="007A150F">
        <w:rPr>
          <w:rFonts w:ascii="Tahoma" w:hAnsi="Tahoma" w:cs="Tahoma"/>
          <w:b/>
          <w:bCs/>
          <w:color w:val="000080"/>
          <w:sz w:val="20"/>
          <w:szCs w:val="20"/>
          <w:highlight w:val="yellow"/>
        </w:rPr>
        <w:t xml:space="preserve">liberazione </w:t>
      </w:r>
      <w:r w:rsidRPr="007A150F">
        <w:rPr>
          <w:rFonts w:ascii="Tahoma" w:hAnsi="Tahoma" w:cs="Tahoma"/>
          <w:color w:val="000080"/>
          <w:sz w:val="20"/>
          <w:szCs w:val="20"/>
          <w:highlight w:val="yellow"/>
        </w:rPr>
        <w:t>dell’arrestato/fermato. Pertanto sia nell’ipotesi di mancata convalida che in quella di convalida non seguita dall’irrogazione di una misura coercitiva, il G.I.P. dovrà disporre la liberazione dell’arrestato/fermato.</w:t>
      </w:r>
    </w:p>
    <w:p w:rsidR="00822ABA" w:rsidRDefault="00822ABA" w:rsidP="00822ABA">
      <w:pPr>
        <w:jc w:val="both"/>
      </w:pPr>
    </w:p>
    <w:sectPr w:rsidR="00822ABA" w:rsidSect="00822A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savePreviewPicture/>
  <w:compat/>
  <w:rsids>
    <w:rsidRoot w:val="00822ABA"/>
    <w:rsid w:val="006536EC"/>
    <w:rsid w:val="007A150F"/>
    <w:rsid w:val="00822ABA"/>
    <w:rsid w:val="00F1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12B"/>
  </w:style>
  <w:style w:type="paragraph" w:styleId="Titolo1">
    <w:name w:val="heading 1"/>
    <w:basedOn w:val="Normale"/>
    <w:link w:val="Titolo1Carattere"/>
    <w:uiPriority w:val="9"/>
    <w:qFormat/>
    <w:rsid w:val="00822A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22ABA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822ABA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822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84776">
          <w:marLeft w:val="0"/>
          <w:marRight w:val="0"/>
          <w:marTop w:val="0"/>
          <w:marBottom w:val="0"/>
          <w:divBdr>
            <w:top w:val="single" w:sz="6" w:space="2" w:color="BACBDB"/>
            <w:left w:val="single" w:sz="6" w:space="0" w:color="BACBDB"/>
            <w:bottom w:val="single" w:sz="6" w:space="2" w:color="BACBDB"/>
            <w:right w:val="single" w:sz="6" w:space="0" w:color="BACBDB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v08.edintorni.net/affiliati/click/?q=partecipazione&amp;a=5367&amp;e=1&amp;y=6&amp;j=BAA219633D6AD63BEC07E05B888309D5http%3A%2F%2Fadvertiser%2Eedintorni%2Enet%2Fredirect%2Easp%3FidG%3D39027%26idA%3D90764%26query%3Dpartecipazione%26cpk%3Da%26idU%3D265%26location%3Dhttp%253A%252F%252Ffeed%252Eedintorni%252Enet%252Fgoadv%252Fredir%252Easp%253Furl%253Dwww%25252Epartecipazioninkarta%25252Eit%2526query%253Dpartecipazione%2526country%253Dit%2526redir%253Dhttp%25253A%25252F%25252Frc23%25252Eoverture%25252Ecom%25252Fd%25252Fsr%25252F%25253Fxargs%25253D15KPjg14hSkJamwriid73LT%2525252DWDxV4axca59s5rDpd8HNRIoS5gVeF3bafCksRxW7064wzRzvOU%2525252DqcULPL4nvuMEgmKQVefSL3y1Y3FyIo5Nv%2525252DXbI5KgLYlwOjqFLEOMco8I8aBSfrNxq3BIdfxN31D%2525252DI8AyRyPrKBjk5DijPFPQrerq1V7%2525252D1vUVJ4B7Khd8LmgCckESuJlT%2525252DyYklDgBphAuNl2lPv7MygVNimm7HENqyawFAV2p7icKIJJ6Pe1z9zBKbK3xYYAPlLCoesW2FuJvU6t69xuMGzT3r4OzwNRFMS0PWay0U9A%2525252DfqZmqOfJNR172iiSNqITSnDWwF2ekFnA%2525252DHkPEOPKGAd0i4%2525252E&amp;r=&amp;x=1236947190156&amp;z=tt.lh.C652F9546872C74E4D0DBFE18D373672&amp;i=33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v08.edintorni.net/affiliati/click/?q=legge&amp;a=5367&amp;e=1&amp;y=6&amp;j=A4EC58C2388AC3CAB1058AEF42607C25http%3A%2F%2Fadvertiser%2Eedintorni%2Enet%2Fredirect%2Easp%3FidG%3D10465%26idA%3D90764%26query%3Dlegge%26cpk%3Da%26idU%3D265%26location%3Dhttp%253A%252F%252Ffeed%252Eedintorni%252Enet%252Fgoadv%252Fredir%252Easp%253Furl%253Dwww%25252Etutto626%25252Eit%2526query%253Dlegge%2526country%253Dit%2526redir%253Dhttp%25253A%25252F%25252Frc23%25252Eoverture%25252Ecom%25252Fd%25252Fsr%25252F%25253Fxargs%25253D15KPjg16JSnJamwr%2525252DsfLzOTOKHwFkaxca58c5pD5l8H9Zf5iMxXOV9a6vGns1xTOVxv1PdzPOW%2525255FKMUKff4n%2525255FuKEw6KTFqLEOXpjdLJyo86MamgXNQbsYtzy%2525252Dvtl4RMPXYDZMKAScn%2525252Dk%2525252DzJIMCofnNK%2525252D48VvkXa8PBswM2ywe4eGLLQzgMp9g6LddISvPIkhcqwIJx%2525255FTsFdfazr4SflcooRmNF1wN2UGCETXl3U5hwFqFL0Mm9yqanTfosBp7TwkpGaaevrzY1TNxHEo6F1uUtH%2525252DDtN%2525252DLpBYHeEn%2525252DIOnQlbFv6jD3KA1GR27MGO2LTNeJhutib%2525252DEcHYASCtOXZCP0hxRPKrMVXIdGw9wy63&amp;r=&amp;x=1236947190156&amp;z=tt.lh.C652F9546872C74E4D0DBFE18D373672&amp;i=33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v08.edintorni.net/affiliati/click/?q=lavoro+commesso&amp;a=5367&amp;e=1&amp;y=6&amp;j=E008E1E83E14613D850FF1871D9AA58Bhttp%3A%2F%2Fadvertiser%2Eedintorni%2Enet%2Fredirect%2Easp%3FidG%3D13558%26idA%3D90764%26query%3Dlavoro%2Bcommesso%26cpk%3Da%26idU%3D265%26location%3Dhttp%253A%252F%252Ffeed%252Eedintorni%252Enet%252Fgoadv%252Fredir%252Easp%253Furl%253Dwww%25252Ejobrapido%25252Eit%2526query%253Dlavoro%252Bcommesso%2526country%253Dit%2526redir%253Dhttp%25253A%25252F%25252Frc23%25252Eoverture%25252Ecom%25252Fd%25252Fsr%25252F%25253Fxargs%25253D15KPjg14BSnZamwryocL3KTOGFxlsFgszv%2525255F85tDJR4H9Vd8WQ8De12bqrDncN9Se1u%2525252DF%2525252DNwPOS%2525252DaAVL%2525255FX5mvqLEA6IQ1COGOX8yt2awIo4M6uoWddPJ4UUmefonIFGNXwEYGsdSOb%2525252Dk%2525252DvMNoe4e0572fxbjhCY%2525255F%2525255FVmyMy%2525255FxOYeFKyJiV8qpAidN8pW4KBa8rrCWuh6S8ZTDtzv0BnFfZwQ%2525252D%2525252DxlkezSSFYQWl7Q420a9VeIIy59pabTfY4Ap7T2mZnJPe6hzZ8BKRuDp6s%2525252DtUvViiGLmN9jT0rHictpoHxSRq3qMW3Q31Ry%2525255FfGwxK%2525252DHRoUn0WH7D9qIU3z%2525255FdxMjcURnA%2525255FmxCGydKGEqs1yKc4MXfMiPyhM%2525252E&amp;r=&amp;x=1236947190156&amp;z=tt.lh.C652F9546872C74E4D0DBFE18D373672&amp;i=336" TargetMode="External"/><Relationship Id="rId5" Type="http://schemas.openxmlformats.org/officeDocument/2006/relationships/hyperlink" Target="http://adv08.edintorni.net/affiliati/click/?q=cose+casa&amp;a=5367&amp;e=1&amp;y=6&amp;j=CAAF6B7EDFA6DD0713A51DC53A73A2C5http%3A%2F%2Fadvertiser%2Eedintorni%2Enet%2Fredirect%2Easp%3FidG%3D24946%26idA%3D90764%26query%3Dcose%2Bcasa%26cpk%3Da%26idU%3D265%26location%3Dhttp%253A%252F%252Ffeed%252Eedintorni%252Enet%252Fgoadv%252Fredir%252Easp%253Furl%253Dwww%25252Eeuronova%25252Ditalia%25252Eit%2526query%253Dcose%252Bcasa%2526country%253Dit%2526redir%253Dhttp%25253A%25252F%25252Frc23%25252Eoverture%25252Ecom%25252Fd%25252Fsr%25252F%25253Fxargs%25253D15KPjg17FSkZamwryicLrITuqHxV4axca588pmCZNxGtZf5iMxXOF%2525255FbqPDmMF6RO1u%2525252DF%2525252DNwPCV%2525255F6AXKPT%2525255FnfmIGw%2525252DMTVaLHOHpjdLJz4s9P6nEb9EHsYtzy%2525252DvsnYZJPXsAa86JSc7%2525252Dk%2525252D3MINbvbj9G%2525255FYoD227Bvvxvxc20wu4fFL7c3UQpqlGGfs9N%2525252D%2525255FF7jM%2525255FBIZsMPrVSftrr4iGTBZlWmo94kL2UDhgTKV3UkmZ%2525252DrFv0ISYgrKbKYo0Nsavwm4aGaKvCp41TOBvQoeQwuV3H3y%2525255FI04tTc2CCuYN7xlMCXfqrbW2C1V5wx%2525252DaC0J2CbbMy6na5GIjUH2emOU96ahQrCpfTf1jYIXdtoBOHZcRLcOieyg%2525252E%2525252E&amp;r=&amp;x=1236947190156&amp;z=tt.lh.C652F9546872C74E4D0DBFE18D373672&amp;i=33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dv08.edintorni.net/affiliati/click/?q=persona&amp;a=5367&amp;e=1&amp;y=6&amp;j=FCA7229E7F7B501E801D2D7521336455http%3A%2F%2Fadvertiser%2Eedintorni%2Enet%2Fredirect%2Easp%3FidG%3D18700%26idA%3D90764%26query%3Dpersona%26cpk%3Da%26idU%3D265%26location%3Dhttp%253A%252F%252Ffeed%252Eedintorni%252Enet%252Fgoadv%252Fredir%252Easp%253Furl%253Dwww%25252Eermes%25252Donline%25252Eit%2526query%253Dpersona%2526country%253Dit%2526redir%253Dhttp%25253A%25252F%25252Frc23%25252Eoverture%25252Ecom%25252Fd%25252Fsr%25252F%25253Fxargs%25253D15KPjg17hSnJamwryqfb3MS%2525252DuLxVsaxca58MxrD5h8H9Zf5iMxXON%2525252DbqvAnsJxTOVxv1PdzPOW%2525252DKETLPv9n%2525255FiPEQaMQVWAG%2525252DrpjdLJz4k0NaegXNDnsYtzy%2525252DvvnIRLO3YEZMKAScj%2525252Dk%2525252D%2525255FJIMCofnNM%2525255FplwlV6U%2525255FPJvyc6zw%2525252DEaE7POiQN1qQOAaI1Vv61fgMnHLJMLPrsgdtye5lflZs0TxtwloN2MPyFkXl2m5R162F2Wez13prDPeIcXuLT4hI6eafWsyNQePgbQq6oy%2525255Fk%2525255FD0WetjJJ7Bkqg375fhg9TRvyjPW%2525252DC50Ny9MGGyJ2KfZp173SiQdqIT3z2dxMhJHFIEa7pKgScKGEqsxOGUqV2&amp;r=&amp;x=1236947190156&amp;z=tt.lh.C652F9546872C74E4D0DBFE18D373672&amp;i=33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2098</Words>
  <Characters>11962</Characters>
  <Application>Microsoft Office Word</Application>
  <DocSecurity>0</DocSecurity>
  <Lines>99</Lines>
  <Paragraphs>28</Paragraphs>
  <ScaleCrop>false</ScaleCrop>
  <Company>TOSHIBA</Company>
  <LinksUpToDate>false</LinksUpToDate>
  <CharactersWithSpaces>14032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2</cp:revision>
  <dcterms:created xsi:type="dcterms:W3CDTF">2009-03-13T12:30:00Z</dcterms:created>
  <dcterms:modified xsi:type="dcterms:W3CDTF">2010-10-20T07:38:00Z</dcterms:modified>
</cp:coreProperties>
</file>